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400" w:lineRule="exact"/>
        <w:ind w:left="0" w:right="0" w:firstLine="0"/>
        <w:jc w:val="center"/>
        <w:textAlignment w:val="top"/>
        <w:rPr>
          <w:rFonts w:hint="eastAsia" w:asciiTheme="majorEastAsia" w:hAnsiTheme="majorEastAsia" w:eastAsiaTheme="majorEastAsia" w:cstheme="majorEastAsia"/>
          <w:b/>
          <w:bCs/>
          <w:i w:val="0"/>
          <w:iCs w:val="0"/>
          <w:caps w:val="0"/>
          <w:color w:val="000000"/>
          <w:spacing w:val="0"/>
          <w:sz w:val="44"/>
          <w:szCs w:val="44"/>
          <w:shd w:val="clear" w:fill="FFFFFF"/>
        </w:rPr>
      </w:pPr>
      <w:bookmarkStart w:id="0" w:name="_GoBack"/>
      <w:bookmarkEnd w:id="0"/>
      <w:r>
        <w:rPr>
          <w:rFonts w:hint="eastAsia" w:asciiTheme="majorEastAsia" w:hAnsiTheme="majorEastAsia" w:eastAsiaTheme="majorEastAsia" w:cstheme="majorEastAsia"/>
          <w:b/>
          <w:bCs/>
          <w:i w:val="0"/>
          <w:iCs w:val="0"/>
          <w:caps w:val="0"/>
          <w:color w:val="000000"/>
          <w:spacing w:val="0"/>
          <w:sz w:val="44"/>
          <w:szCs w:val="44"/>
          <w:shd w:val="clear" w:fill="FFFFFF"/>
        </w:rPr>
        <w:t>夏邑县2018年度收支决算情况说明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400" w:lineRule="exact"/>
        <w:ind w:left="0" w:right="0" w:firstLine="0"/>
        <w:jc w:val="center"/>
        <w:textAlignment w:val="top"/>
        <w:rPr>
          <w:rFonts w:hint="eastAsia" w:asciiTheme="majorEastAsia" w:hAnsiTheme="majorEastAsia" w:eastAsiaTheme="majorEastAsia" w:cstheme="majorEastAsia"/>
          <w:b/>
          <w:bCs/>
          <w:i w:val="0"/>
          <w:iCs w:val="0"/>
          <w:caps w:val="0"/>
          <w:color w:val="000000"/>
          <w:spacing w:val="0"/>
          <w:sz w:val="44"/>
          <w:szCs w:val="44"/>
          <w:shd w:val="clear" w:fill="FFFFFF"/>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643" w:firstLineChars="200"/>
        <w:jc w:val="left"/>
        <w:textAlignment w:val="top"/>
        <w:rPr>
          <w:rFonts w:hint="eastAsia" w:ascii="仿宋" w:hAnsi="仿宋" w:eastAsia="仿宋" w:cs="仿宋"/>
          <w:b/>
          <w:bCs/>
          <w:sz w:val="32"/>
          <w:szCs w:val="32"/>
        </w:rPr>
      </w:pPr>
      <w:r>
        <w:rPr>
          <w:rFonts w:hint="eastAsia" w:ascii="仿宋" w:hAnsi="仿宋" w:eastAsia="仿宋" w:cs="仿宋"/>
          <w:b/>
          <w:bCs/>
          <w:i w:val="0"/>
          <w:iCs w:val="0"/>
          <w:caps w:val="0"/>
          <w:color w:val="333333"/>
          <w:spacing w:val="0"/>
          <w:kern w:val="0"/>
          <w:sz w:val="32"/>
          <w:szCs w:val="32"/>
          <w:shd w:val="clear" w:fill="FFFFFF"/>
          <w:lang w:val="en-US" w:eastAsia="zh-CN" w:bidi="ar"/>
        </w:rPr>
        <w:t>（一）一般公共预算收支决算情况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全县一般公共预算收入完成89609万元，占调整预算87000万元的103%，较上年增长24.3%，在全市居第二位；税收返还收入10380万元，上级转移支付收入425963万元，省辖市补助省直管县收入6843万元，调入预算稳定调节基金5400万元，从政府性基金预算调入一般公共预算21311万元，收入合计559506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全县一般公共预算支出539866万元，为调整预算538276万元的100.3%，较上年增长11.9%；上解上级支出10246万元，省直管县上解省辖市支出190万元，一般债务还本支出4316万元，补充预算稳定调节基金4888万元，支出合计559506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收支相抵，全县一般公共预算收支平衡。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县本级一般公共预算收入完成80927万元，税收返还收入8360万元，上级转移支付收入419908万元，省辖市补助省直管县收入5845万元，调入预算稳定调节基金5400万元，从政府性基金预算调入一般公共预算21311万元，合计541751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2018年，县本级一般公共预算支出522111万元，同比增长11.9%；上解上级支出10246万元，省直管县上解省辖市支出190万元，一般债务还本支出4316万元，补充预算稳定调节基金4888万元，支出合计541751万元。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2018年，收支相抵，县本级一般公共预算收支平衡。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3" w:firstLineChars="200"/>
        <w:jc w:val="left"/>
        <w:textAlignment w:val="top"/>
        <w:rPr>
          <w:rFonts w:hint="eastAsia" w:ascii="仿宋" w:hAnsi="仿宋" w:eastAsia="仿宋" w:cs="仿宋"/>
          <w:b/>
          <w:bCs/>
          <w:sz w:val="32"/>
          <w:szCs w:val="32"/>
        </w:rPr>
      </w:pPr>
      <w:r>
        <w:rPr>
          <w:rFonts w:hint="eastAsia" w:ascii="仿宋" w:hAnsi="仿宋" w:eastAsia="仿宋" w:cs="仿宋"/>
          <w:b/>
          <w:bCs/>
          <w:i w:val="0"/>
          <w:iCs w:val="0"/>
          <w:caps w:val="0"/>
          <w:color w:val="333333"/>
          <w:spacing w:val="0"/>
          <w:kern w:val="0"/>
          <w:sz w:val="32"/>
          <w:szCs w:val="32"/>
          <w:shd w:val="clear" w:fill="FFFFFF"/>
          <w:lang w:val="en-US" w:eastAsia="zh-CN" w:bidi="ar"/>
        </w:rPr>
        <w:t>（二）政府性基金收支决算情况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政府性基金收入完成95292万元，完成调整预算93352万元的102％，较上年增长349%，其中：商丘绿实置业有限公司、商丘市力达房地产有限公司两家企业和崔振鹏个人交纳土地出让价款收入达6亿元；上年结余11万元，上级补助收入7538万元，新增专项债券收入11525万元。收入合计114366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政府性基金支出93042万元，为调整预算81196万元的115%，较上年增长174%；调出资金21311万元，上解上级支出13万元，支出合计114366万元。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收支相抵，政府性基金收支平衡。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3" w:firstLineChars="200"/>
        <w:jc w:val="left"/>
        <w:textAlignment w:val="top"/>
        <w:rPr>
          <w:rFonts w:hint="eastAsia" w:ascii="仿宋" w:hAnsi="仿宋" w:eastAsia="仿宋" w:cs="仿宋"/>
          <w:sz w:val="32"/>
          <w:szCs w:val="32"/>
        </w:rPr>
      </w:pPr>
      <w:r>
        <w:rPr>
          <w:rFonts w:hint="eastAsia" w:ascii="仿宋" w:hAnsi="仿宋" w:eastAsia="仿宋" w:cs="仿宋"/>
          <w:b/>
          <w:bCs/>
          <w:i w:val="0"/>
          <w:iCs w:val="0"/>
          <w:caps w:val="0"/>
          <w:color w:val="333333"/>
          <w:spacing w:val="0"/>
          <w:kern w:val="0"/>
          <w:sz w:val="32"/>
          <w:szCs w:val="32"/>
          <w:shd w:val="clear" w:fill="FFFFFF"/>
          <w:lang w:val="en-US" w:eastAsia="zh-CN" w:bidi="ar"/>
        </w:rPr>
        <w:t>（三）社保基金收支决算情况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2018年，社会保险基金收入完成105588万元，社会保险基金支出完成94040万元。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年末滚存结余90370万元，按政策结转下年使用。</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B6E2A"/>
    <w:rsid w:val="1F7D38AB"/>
    <w:rsid w:val="400A7EFF"/>
    <w:rsid w:val="7DDB6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2020-09-06T06:04:00Z</dcterms:created>
  <dc:creator>Lenovo</dc:creator>
  <cp:lastModifiedBy>Lenovo</cp:lastModifiedBy>
  <dcterms:modified xsi:type="dcterms:W3CDTF">2019-09-06T06:41:13Z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873AC617A9184D8F867E8999A42E285A</vt:lpwstr>
  </property>
</Properties>
</file>