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810" w:lineRule="atLeast"/>
        <w:ind w:left="0" w:right="0" w:firstLine="0"/>
        <w:jc w:val="center"/>
        <w:textAlignment w:val="top"/>
        <w:rPr>
          <w:rFonts w:ascii="微软雅黑" w:hAnsi="微软雅黑" w:eastAsia="微软雅黑" w:cs="微软雅黑"/>
          <w:i w:val="0"/>
          <w:iCs w:val="0"/>
          <w:caps w:val="0"/>
          <w:color w:val="000000"/>
          <w:spacing w:val="0"/>
          <w:sz w:val="45"/>
          <w:szCs w:val="45"/>
        </w:rPr>
      </w:pPr>
      <w:bookmarkStart w:id="0" w:name="_GoBack"/>
      <w:bookmarkEnd w:id="0"/>
      <w:r>
        <w:rPr>
          <w:rFonts w:hint="eastAsia" w:ascii="宋体" w:hAnsi="宋体" w:eastAsia="宋体" w:cs="宋体"/>
          <w:b/>
          <w:bCs/>
          <w:i w:val="0"/>
          <w:iCs w:val="0"/>
          <w:caps w:val="0"/>
          <w:color w:val="000000"/>
          <w:spacing w:val="0"/>
          <w:sz w:val="44"/>
          <w:szCs w:val="44"/>
          <w:shd w:val="clear" w:fill="FFFFFF"/>
        </w:rPr>
        <w:t>关于夏邑县2018年财政决算和2019年上半年财政预算执行情况的报告</w:t>
      </w:r>
    </w:p>
    <w:p>
      <w:pPr>
        <w:spacing w:line="600" w:lineRule="exact"/>
        <w:ind w:firstLine="18" w:firstLineChars="6"/>
        <w:jc w:val="center"/>
        <w:rPr>
          <w:rFonts w:hint="eastAsia" w:ascii="仿宋" w:hAnsi="仿宋" w:eastAsia="仿宋" w:cs="仿宋"/>
          <w:spacing w:val="-6"/>
          <w:sz w:val="32"/>
          <w:szCs w:val="32"/>
        </w:rPr>
      </w:pPr>
      <w:r>
        <w:rPr>
          <w:rFonts w:hint="eastAsia" w:ascii="仿宋" w:hAnsi="仿宋" w:eastAsia="仿宋" w:cs="仿宋"/>
          <w:spacing w:val="-6"/>
          <w:sz w:val="32"/>
          <w:szCs w:val="32"/>
        </w:rPr>
        <w:t>—201</w:t>
      </w:r>
      <w:r>
        <w:rPr>
          <w:rFonts w:hint="eastAsia" w:ascii="仿宋" w:hAnsi="仿宋" w:eastAsia="仿宋" w:cs="仿宋"/>
          <w:spacing w:val="-6"/>
          <w:sz w:val="32"/>
          <w:szCs w:val="32"/>
          <w:lang w:val="en-US" w:eastAsia="zh-CN"/>
        </w:rPr>
        <w:t>9</w:t>
      </w:r>
      <w:r>
        <w:rPr>
          <w:rFonts w:hint="eastAsia" w:ascii="仿宋" w:hAnsi="仿宋" w:eastAsia="仿宋" w:cs="仿宋"/>
          <w:spacing w:val="-6"/>
          <w:sz w:val="32"/>
          <w:szCs w:val="32"/>
        </w:rPr>
        <w:t>年8月</w:t>
      </w:r>
      <w:r>
        <w:rPr>
          <w:rFonts w:hint="eastAsia" w:ascii="仿宋" w:hAnsi="仿宋" w:eastAsia="仿宋" w:cs="仿宋"/>
          <w:spacing w:val="-6"/>
          <w:sz w:val="32"/>
          <w:szCs w:val="32"/>
          <w:lang w:val="en-US" w:eastAsia="zh-CN"/>
        </w:rPr>
        <w:t>26</w:t>
      </w:r>
      <w:r>
        <w:rPr>
          <w:rFonts w:hint="eastAsia" w:ascii="仿宋" w:hAnsi="仿宋" w:eastAsia="仿宋" w:cs="仿宋"/>
          <w:spacing w:val="-6"/>
          <w:sz w:val="32"/>
          <w:szCs w:val="32"/>
        </w:rPr>
        <w:t>日在夏邑县十五届人大常委会第</w:t>
      </w:r>
      <w:r>
        <w:rPr>
          <w:rFonts w:hint="eastAsia" w:ascii="仿宋" w:hAnsi="仿宋" w:eastAsia="仿宋" w:cs="仿宋"/>
          <w:spacing w:val="-6"/>
          <w:sz w:val="32"/>
          <w:szCs w:val="32"/>
          <w:lang w:val="en-US" w:eastAsia="zh-CN"/>
        </w:rPr>
        <w:t>二十四</w:t>
      </w:r>
      <w:r>
        <w:rPr>
          <w:rFonts w:hint="eastAsia" w:ascii="仿宋" w:hAnsi="仿宋" w:eastAsia="仿宋" w:cs="仿宋"/>
          <w:spacing w:val="-6"/>
          <w:sz w:val="32"/>
          <w:szCs w:val="32"/>
        </w:rPr>
        <w:t>次会议上</w:t>
      </w:r>
    </w:p>
    <w:p>
      <w:pPr>
        <w:spacing w:line="600" w:lineRule="exact"/>
        <w:ind w:firstLine="19" w:firstLineChars="6"/>
        <w:jc w:val="center"/>
        <w:rPr>
          <w:rFonts w:hint="eastAsia" w:ascii="仿宋" w:hAnsi="仿宋" w:eastAsia="仿宋" w:cs="仿宋"/>
          <w:spacing w:val="3"/>
          <w:sz w:val="32"/>
          <w:szCs w:val="32"/>
        </w:rPr>
      </w:pPr>
      <w:r>
        <w:rPr>
          <w:rFonts w:hint="eastAsia" w:ascii="仿宋" w:hAnsi="仿宋" w:eastAsia="仿宋" w:cs="仿宋"/>
          <w:spacing w:val="3"/>
          <w:sz w:val="32"/>
          <w:szCs w:val="32"/>
        </w:rPr>
        <w:t>县财政局局长 王全涛</w:t>
      </w:r>
    </w:p>
    <w:p>
      <w:pPr>
        <w:pStyle w:val="6"/>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right="0" w:rightChars="0"/>
        <w:outlineLvl w:val="9"/>
        <w:rPr>
          <w:rFonts w:hint="eastAsia" w:ascii="仿宋" w:hAnsi="仿宋" w:eastAsia="仿宋" w:cs="仿宋"/>
          <w:color w:val="000000"/>
          <w:sz w:val="32"/>
          <w:szCs w:val="32"/>
        </w:rPr>
      </w:pPr>
    </w:p>
    <w:p>
      <w:pPr>
        <w:pStyle w:val="6"/>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right="0" w:rightChars="0"/>
        <w:jc w:val="left"/>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主任、各位副主任、各位委员：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受县人民政府委托，下面，我向县人大常委会报告2018年财政决算和2019年上半年财政预算执行情况，请予审议。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黑体" w:hAnsi="黑体" w:eastAsia="黑体" w:cs="黑体"/>
          <w:sz w:val="32"/>
          <w:szCs w:val="32"/>
        </w:rPr>
      </w:pPr>
      <w:r>
        <w:rPr>
          <w:rFonts w:hint="eastAsia" w:ascii="黑体" w:hAnsi="黑体" w:eastAsia="黑体" w:cs="黑体"/>
          <w:i w:val="0"/>
          <w:iCs w:val="0"/>
          <w:caps w:val="0"/>
          <w:color w:val="333333"/>
          <w:spacing w:val="0"/>
          <w:kern w:val="0"/>
          <w:sz w:val="32"/>
          <w:szCs w:val="32"/>
          <w:shd w:val="clear" w:fill="FFFFFF"/>
          <w:lang w:val="en-US" w:eastAsia="zh-CN" w:bidi="ar"/>
        </w:rPr>
        <w:t>一、2018年财政决算情况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2018年，全县各部门以习近平新时代中国特色社会主义思想为指导，深入贯彻党的十九大和十九届二中、三中全会精神，牢固树立“四个意识”，牢牢把握新发展理念核心要义，坚决执行县委、县政府决策部署，认真落实县十五届人大二次会议各项决议，统筹推进稳增长、促改革、调结构、惠民生、防风险等各项工作，经济运行稳中向好，财税改革深入推进，决算情况总体良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楷体" w:hAnsi="楷体" w:eastAsia="楷体" w:cs="楷体"/>
          <w:i w:val="0"/>
          <w:iCs w:val="0"/>
          <w:caps w:val="0"/>
          <w:color w:val="333333"/>
          <w:spacing w:val="0"/>
          <w:kern w:val="0"/>
          <w:sz w:val="32"/>
          <w:szCs w:val="32"/>
          <w:shd w:val="clear" w:fill="FFFFFF"/>
          <w:lang w:val="en-US" w:eastAsia="zh-CN" w:bidi="ar"/>
        </w:rPr>
        <w:t>（一）一般公共预算收支决算情况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全县一般公共预算收入完成89609万元，占调整预算87000万元的103%，较上年增长24.3%，在全市居第二位；税收返还收入10380万元，上级转移支付收入425963万元，省辖市补助省直管县收入6843万元，调入预算稳定调节基金5400万元，从政府性基金预算调入一般公共预算21311万元，收入合计559506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全县一般公共预算支出539866万元，为调整预算538276万元的100.3%，较上年增长11.9%；上解上级支出10246万元，省直管县上解省辖市支出190万元，一般债务还本支出4316万元，补充预算稳定调节基金4888万元，支出合计559506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收支相抵，全县一般公共预算收支平衡。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县本级一般公共预算收入完成80927万元，税收返还收入8360万元，上级转移支付收入419908万元，省辖市补助省直管县收入5845万元，调入预算稳定调节基金5400万元，从政府性基金预算调入一般公共预算21311万元，合计541751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2018年，县本级一般公共预算支出522111万元，同比增长11.9%；上解上级支出10246万元，省直管县上解省辖市支出190万元，一般债务还本支出4316万元，补充预算稳定调节基金4888万元，支出合计541751万元。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2018年，收支相抵，县本级一般公共预算收支平衡。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楷体" w:hAnsi="楷体" w:eastAsia="楷体" w:cs="楷体"/>
          <w:i w:val="0"/>
          <w:iCs w:val="0"/>
          <w:caps w:val="0"/>
          <w:color w:val="333333"/>
          <w:spacing w:val="0"/>
          <w:kern w:val="0"/>
          <w:sz w:val="32"/>
          <w:szCs w:val="32"/>
          <w:shd w:val="clear" w:fill="FFFFFF"/>
          <w:lang w:val="en-US" w:eastAsia="zh-CN" w:bidi="ar"/>
        </w:rPr>
        <w:t>（二）政府性基金收支决算情况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政府性基金收入完成95292万元，完成调整预算93352万元的102％，较上年增长349%，其中：商丘绿实置业有限公司、商丘市力达房地产有限公司两家企业和崔振鹏个人交纳土地出让价款收入达6亿元；上年结余11万元，上级补助收入7538万元，新增专项债券收入11525万元。收入合计114366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政府性基金支出93042万元，为调整预算81196万元的115%，较上年增长174%；调出资金21311万元，上解上级支出13万元，支出合计114366万元。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收支相抵，政府性基金收支平衡。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楷体" w:hAnsi="楷体" w:eastAsia="楷体" w:cs="楷体"/>
          <w:i w:val="0"/>
          <w:iCs w:val="0"/>
          <w:caps w:val="0"/>
          <w:color w:val="333333"/>
          <w:spacing w:val="0"/>
          <w:kern w:val="0"/>
          <w:sz w:val="32"/>
          <w:szCs w:val="32"/>
          <w:shd w:val="clear" w:fill="FFFFFF"/>
          <w:lang w:val="en-US" w:eastAsia="zh-CN" w:bidi="ar"/>
        </w:rPr>
      </w:pPr>
      <w:r>
        <w:rPr>
          <w:rFonts w:hint="eastAsia" w:ascii="楷体" w:hAnsi="楷体" w:eastAsia="楷体" w:cs="楷体"/>
          <w:i w:val="0"/>
          <w:iCs w:val="0"/>
          <w:caps w:val="0"/>
          <w:color w:val="333333"/>
          <w:spacing w:val="0"/>
          <w:kern w:val="0"/>
          <w:sz w:val="32"/>
          <w:szCs w:val="32"/>
          <w:shd w:val="clear" w:fill="FFFFFF"/>
          <w:lang w:val="en-US" w:eastAsia="zh-CN" w:bidi="ar"/>
        </w:rPr>
        <w:t>（三）社保基金收支决算情况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2018年，社会保险基金收入完成105588万元，社会保险基金支出完成94040万元。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年末滚存结余90370万元，按政策结转下年使用。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80"/>
        <w:jc w:val="both"/>
        <w:textAlignment w:val="top"/>
        <w:rPr>
          <w:rFonts w:hint="eastAsia" w:ascii="楷体" w:hAnsi="楷体" w:eastAsia="楷体" w:cs="楷体"/>
          <w:i w:val="0"/>
          <w:iCs w:val="0"/>
          <w:caps w:val="0"/>
          <w:color w:val="333333"/>
          <w:spacing w:val="0"/>
          <w:kern w:val="0"/>
          <w:sz w:val="32"/>
          <w:szCs w:val="32"/>
          <w:shd w:val="clear" w:fill="FFFFFF"/>
          <w:lang w:val="en-US" w:eastAsia="zh-CN" w:bidi="ar"/>
        </w:rPr>
      </w:pPr>
      <w:r>
        <w:rPr>
          <w:rFonts w:hint="eastAsia" w:ascii="楷体" w:hAnsi="楷体" w:eastAsia="楷体" w:cs="楷体"/>
          <w:i w:val="0"/>
          <w:iCs w:val="0"/>
          <w:caps w:val="0"/>
          <w:color w:val="333333"/>
          <w:spacing w:val="0"/>
          <w:kern w:val="0"/>
          <w:sz w:val="32"/>
          <w:szCs w:val="32"/>
          <w:shd w:val="clear" w:fill="FFFFFF"/>
          <w:lang w:val="en-US" w:eastAsia="zh-CN" w:bidi="ar"/>
        </w:rPr>
        <w:t>（四）政府性债务情况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2018年，县新增专项债券转贷收入11525万元，当年债券支出10985万元。止于2018年底，全县政府债务余额603893万元，其中：政府债券余额109624万元，隐性债务余额490344万元，全县债务风险在可控范围之内。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在县委、县政府坚强领导下，我们严格按照县人大决议要求和财经委员会审查意见，聚力增效，大力实施减税降费政策，加大对三大攻坚战、供给侧结构性改革的支持力度，更多向创新驱动、“三农”、民生等重点领域倾斜，深化财税体制改革，加强预算执行管理，促进经济持续健康发展和社会大局稳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1、抓调度，财政收入稳定增长。面对严峻的收入形势，全县财税部门认真落实县委、县政府的决策部署，着力抓组织协调、综合治税和信息化征管，千方百计组织财政收入。一是强化收入组织责任。加大收入调度，进一步挖掘税收潜力，强化征管责任，完善考核机制。二是大力推进综合治税。通过一体化办税服务厅，实现“一个平台”联合管税。充分发挥综合治税信息平台和财、税、库、银系统的作用。三是加速提升信息化征管水平。以信息技术为手段，开展多渠道、多方位的非税收入征管工作，并进一步扩大非税收入收缴电子化范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强担当，支持打好“三大攻坚战”。全面贯彻中央和省、市决策部署，提高站位，主动作为，全力支持打好三大攻坚战。一是着力防范化解重大风险。坚决贯彻习近平总书记重要讲话和系列指示批示精神，全面开展隐性债务摸底调查工作，并积极组织开展违法违规举债担保问题清理整改和PPP项目摸底核查工作，及时消除和整改了一批风险隐患。2018年新增债券11525万元，有效发挥了政府规范举债对稳投资、扩内需、补短板的积极作用。二是着力推进精准脱贫。2018年，县本级投入专项扶贫资金3500万元，统筹整合资金52080万元，集中用于脱贫攻坚，重点支持了贫困村道路建设、光伏发电、扶贫车间、到户增收等项目。全县17530户32569名贫困人口达到高质量稳定脱贫，各项指标均达到脱贫退出要求。三是着力支持污染防治。牢固树立“绿水青山就是金山银山”理念，建立稳定投入增长机制，2018年节能环保支出14220万元，同比增长18.4%，较好地支持了大气、水体、土壤等污染防治工作。全年共向上级争取到位资金2850.04万元，用于大气污染防治、水污染治理、新能源公交车补助、冬季清洁取暖“双替代”工程补助等，努力打造天蓝、水清、地绿的美丽家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3、优服务，激发实体经济活力。一是降低实体经济成本。落实营改增等结构性减税政策，全面落实国家鼓励发展重点行业、新兴产业相关税收优惠政策。积极宣传税收优惠政策，充分发挥“互联网+”作用。定期公开税费政策目录清单，设立了违规收费举报箱和举报电话。二是支持工业企业转型升级。2018年，会同工信部门先后争取省先进制造业发展资金、市工业经济发展奖励资金、市“三大改造”财政补助资金1802万元。通过支持技术改造和设备更新，帮助企业扭亏为盈，利税大幅增长。三是逐步完善金融支持体系。大力发展普惠金融，加强农村金融基层服务体系建设，大力推行农业信贷担保，加大创业贷款发放力度。四是通过投融资平台大力支持企业发展。2018年，县发展投资有限公司先后向永安新织造、顺洋纺织、鹿峰包装等重点企业投放生产发展资金4800万元；县中小企业担保有限公司继续加大与金融机构合作，2018年共为我县企业提供担保贷款68笔22500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4、重保障，民生事业不断改善。牢固树立以人民为中心的发展思想，不断满足人民日益增长的美好生活需要。2018年，全县民生支出478493万元，占全县一般公共预算支出的88.68%，较上年增长13.8%。一是继续加大社会保障支出。全年落实社会保障和就业资金共计78368万元。用于拨付养老金、优抚对象补助、困难群众基本生活救助、残疾人两项补助等资金。2018年基础养老金标准提高到每人每月98元，城市、农村低保补助标准分别提高到每月人均262元、154元。二是推进教育改革发展。全年共落实教育支出75000万元，用于拨付薄弱学校改造、农村中小学校舍维修、学前发展专项、免费教科书、寄宿生补助、中职国家助学金和免学费资金等。三是推进基本医疗保障制度建设。2018年，我县医疗卫生支出78477万元，一定程度上缓解了城乡居民看病难，看病贵的问题。四是支持保障性安居工程建设。全年争取上级保障性安居工程建设资金 18412万元，实际投入建设资金84800万元，已筹建保障性安居住房108.2万平方米。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5、强监管，理财水平不断提升。一是深化预算管理制度改革。完善全口径预算体系，试编政府综合财务报告，建立全面规范、公开透明的预算制度。全面推进预决算公开，提高预决算公开的完整性、规范性、准确性。清理盘活财政存量资金，部门预算结转结余资金消化情况良好。二是继续推进国库集中支付制度改革，逐步完善国库集中支付电子化管理工作。三是大力规范政府采购行为，强化财政投资评审工作职能，节支增效成绩显著。四是加强和规范非税收入“收支两条线”和财政监督管理工作，提高资金使用效益。五是加强行政事业资产管理工作，维护国有资产安全与完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黑体" w:hAnsi="黑体" w:eastAsia="黑体" w:cs="黑体"/>
          <w:i w:val="0"/>
          <w:iCs w:val="0"/>
          <w:caps w:val="0"/>
          <w:color w:val="333333"/>
          <w:spacing w:val="0"/>
          <w:kern w:val="0"/>
          <w:sz w:val="32"/>
          <w:szCs w:val="32"/>
          <w:shd w:val="clear" w:fill="FFFFFF"/>
          <w:lang w:val="en-US" w:eastAsia="zh-CN" w:bidi="ar"/>
        </w:rPr>
        <w:t>二、2019年上半年财政预算执行情况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楷体" w:hAnsi="楷体" w:eastAsia="楷体" w:cs="楷体"/>
          <w:sz w:val="32"/>
          <w:szCs w:val="32"/>
        </w:rPr>
      </w:pPr>
      <w:r>
        <w:rPr>
          <w:rFonts w:hint="eastAsia" w:ascii="楷体" w:hAnsi="楷体" w:eastAsia="楷体" w:cs="楷体"/>
          <w:i w:val="0"/>
          <w:iCs w:val="0"/>
          <w:caps w:val="0"/>
          <w:color w:val="333333"/>
          <w:spacing w:val="0"/>
          <w:kern w:val="0"/>
          <w:sz w:val="32"/>
          <w:szCs w:val="32"/>
          <w:shd w:val="clear" w:fill="FFFFFF"/>
          <w:lang w:val="en-US" w:eastAsia="zh-CN" w:bidi="ar"/>
        </w:rPr>
        <w:t>（一）一般公共预算收支执行情况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元至六月份，全县一般公共预算收入累计完成58980万元，为年预算97000万元的60.8％，较上年同期51471万元增长14.6%，增收7509万元。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上半年，县本级一般公共预算收入累计完成52208万元，较上年同期增长10％。其中：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税收收入完成35121万元，同比增长32%。分税种看：增值税完成6126万元，同比增长11.1%；企业所得税完成2948万元，同比下降19.9%；个人所得税完成239万元，同比下降42.8%；城市维护建设税完成677万元，同比增长12.2%；车船使用税完成829万元，同比增长36%；耕地占用税完成10585万元，同比增长31.5%。</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非税收入完成17087万元，同比下降18%。主要为：专项收入完成572万元，同比增长16.8%；行政事业性收费完成2109万元，同比下降46.1%；罚没收入完成8135万元，同比下降40.1%；国有资源（资产）有偿使用收入5696万元，同比增长130.8%。</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元至六月份，全县一般公共预算支出完成334147万元，占年预算的70.4%，较上年同期增长5%。</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上半年，县本级一般公共预算支出完成326622.7万元，较上年同期增长5.4%。主要支出项目是：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一般公共服务支出20269.3万元，同比增长5.5%；</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公共安全支出11361万元，同比增长27.2%；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教育支出72614万元，同比增长9%；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科学技术支出2468万元，同比增长118.6%；</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文化体育与传媒支出2118.3万元，同比增长81%；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社会保障与就业支出39808.8万元，同比增长3.6%；</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医疗卫生与计划生育支出41473.8万元，同比下降24.6%；</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节能环保支出5518万元，同比增长17.8%；</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城乡社区事务支出68320.1万元，同比增长115.4%；</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农林水支出38040万元，同比下降36.4%；</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交通运输支出8930万元，同比增长144.7%；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住房保障支出9081.5万元，同比下降30.9%。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楷体" w:hAnsi="楷体" w:eastAsia="楷体" w:cs="楷体"/>
          <w:i w:val="0"/>
          <w:iCs w:val="0"/>
          <w:caps w:val="0"/>
          <w:color w:val="333333"/>
          <w:spacing w:val="0"/>
          <w:kern w:val="0"/>
          <w:sz w:val="32"/>
          <w:szCs w:val="32"/>
          <w:shd w:val="clear" w:fill="FFFFFF"/>
          <w:lang w:val="en-US" w:eastAsia="zh-CN" w:bidi="ar"/>
        </w:rPr>
      </w:pPr>
      <w:r>
        <w:rPr>
          <w:rFonts w:hint="eastAsia" w:ascii="楷体" w:hAnsi="楷体" w:eastAsia="楷体" w:cs="楷体"/>
          <w:i w:val="0"/>
          <w:iCs w:val="0"/>
          <w:caps w:val="0"/>
          <w:color w:val="333333"/>
          <w:spacing w:val="0"/>
          <w:kern w:val="0"/>
          <w:sz w:val="32"/>
          <w:szCs w:val="32"/>
          <w:shd w:val="clear" w:fill="FFFFFF"/>
          <w:lang w:val="en-US" w:eastAsia="zh-CN" w:bidi="ar"/>
        </w:rPr>
        <w:t>（二）政府性基金预算执行情况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上半年，全县政府性基金预算收入累计完成56317万元，占年度预算的112.6%，较同期41271万元增长36.5%；政府性基金累计支出45884万元，占年度预算的90.2%，较同期31382万元增长46.2%。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楷体" w:hAnsi="楷体" w:eastAsia="楷体" w:cs="楷体"/>
          <w:i w:val="0"/>
          <w:iCs w:val="0"/>
          <w:caps w:val="0"/>
          <w:color w:val="333333"/>
          <w:spacing w:val="0"/>
          <w:kern w:val="0"/>
          <w:sz w:val="32"/>
          <w:szCs w:val="32"/>
          <w:shd w:val="clear" w:fill="FFFFFF"/>
          <w:lang w:val="en-US" w:eastAsia="zh-CN" w:bidi="ar"/>
        </w:rPr>
      </w:pPr>
      <w:r>
        <w:rPr>
          <w:rFonts w:hint="eastAsia" w:ascii="楷体" w:hAnsi="楷体" w:eastAsia="楷体" w:cs="楷体"/>
          <w:i w:val="0"/>
          <w:iCs w:val="0"/>
          <w:caps w:val="0"/>
          <w:color w:val="333333"/>
          <w:spacing w:val="0"/>
          <w:kern w:val="0"/>
          <w:sz w:val="32"/>
          <w:szCs w:val="32"/>
          <w:shd w:val="clear" w:fill="FFFFFF"/>
          <w:lang w:val="en-US" w:eastAsia="zh-CN" w:bidi="ar"/>
        </w:rPr>
        <w:t>（三）社会保险基金预算执行情况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上半年，社会保险基金收入完成60747万元，占年度预算的51%；全县社会保险基金支出49281万元，占年度预算的50.9%。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从上半年运行情况来看，财政形势严峻，由于减税降费等政策性减收因素较多，收入增长乏力，增收空间较小。养老金清算、教师增加补贴等刚性支出增长，收支矛盾突出。上半年我县新开工建设项目较多，国库资金调度非常艰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下半年，全县财政工作继续坚持以县人大批准的预算为目标，培植财源，狠抓收入，科学理财，严管支出，提高绩效，为确保完成全年财政任务不懈努力。将着重抓好以下四个方面工作：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1、坚持减税降费和强化税收征管两手抓，确保税收收入稳定增长。讲政治、讲规矩、讲大局，不折不扣落实好各项减税降费政策，坚决兑现对企业和社会的承诺，让纳税人尽享国家政策红利。进一步严格收入纪律，牢固树立不落实税收优惠政策也是收过头税的观念。同时，加强财政收入日常监控，既要做到应减尽减，又要做到应征尽征。坚持减税降费和强化税收征管两手抓，两手都要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硬化预算约束，加强支出管理。遵循“先有预算，后有支出”的原则，无预算不拨款，不向非预算单位和非预算项目拨款。年度预算批复后,各部门、各单位要严格按照规定的项目和用途使用,不得随意变更。年度预算执行中,因工作任务增加或调整需要新增支出的,由各单位统筹年初预算资金、上年结转资金等办法解决,一般不追加预算，对特殊情况确需追加预算的,需经县人大常委会批准。财政资金投资的项目严格按照《政府投资条例》规定，纳入财政预算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3、科学统筹财力，强化“三保”支出和重点支出保障。全面落实“三保”（保工资、保运转、保基本民生）支出责任，坚持先“三保”支出、后其他支出的库款保障秩序，特别是要优先保工资，防止出现拖欠工资事件。要进一步规范国库管理，严禁违规借垫库款，严禁用库款偿还无预算安排的政府性债务和平台公司经营性债务。压减一般性支出，牢固树立过紧日子思想。有保有压，促进财力向重点领域和关键环节倾斜，要下力气整合资金，集中财力优先保障全县经济社会可持续发展、事关人民群众切身利益的重大政策和重点民生实事项目。全面实施预算绩效管理，将绩效结果作为政策调整、预算安排和改进管理的重要依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both"/>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4、以防范风险为重点，加大攻坚力度。一是加强政府债务管理，支持打好防范化解重大风险攻坚战。严格落实《预算法》关于政府债务限额管理和预算管理的规定，政府举债融资的重大建设项目，应当报同级人大常委会审查批准。坚持标本兼治、疏堵结合，坚决遏制隐性债务增量，稳妥处置隐性债务存量，防范化解地方政府债务风险。2019年，我县向省厅申请专项债券资金600万元，拟用于夏邑县印染产业生态自净区木兰园工程。二是加大支农力度，支持打好精准脱贫攻坚战。建立财政扶贫资金监督管理制度，用好扶贫资金，提高脱贫质量和减贫效果，严禁脱贫摘帽后的返贫现象发生。三是加强环境治理，支持打好污染防治攻坚战。持续加大财政资金投入力度，倾斜资金推进大气、水体、土壤污染防治，着力解决突出环境问题，促进全县生态环境质量总体改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主任、各位副主任、各位委员，下半年财政工作任务艰巨、责任重大，我们将高举习近平新时代中国特色社会主义思想伟大旗帜，全面贯彻县委、县政府各项决策部署，落实人大决议，接受人大监督，不忘初心，牢记使命，以更加昂扬的斗志、创新的精神、务实的作风，锐意进取，埋头苦干，以优异成绩向新中国成立70周年献礼！</w:t>
      </w:r>
    </w:p>
    <w:p>
      <w:pPr>
        <w:rPr>
          <w:rFonts w:hint="eastAsia" w:ascii="仿宋" w:hAnsi="仿宋" w:eastAsia="仿宋" w:cs="仿宋"/>
          <w:sz w:val="32"/>
          <w:szCs w:val="32"/>
        </w:rPr>
      </w:pPr>
    </w:p>
    <w:sectPr>
      <w:pgSz w:w="11906" w:h="16838"/>
      <w:pgMar w:top="1440" w:right="1519" w:bottom="1440" w:left="15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3080D"/>
    <w:rsid w:val="2043080D"/>
    <w:rsid w:val="6C771FD7"/>
    <w:rsid w:val="7BEF7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p0"/>
    <w:basedOn w:val="1"/>
    <w:uiPriority w:val="0"/>
    <w:pPr>
      <w:widowControl/>
      <w:spacing w:line="820" w:lineRule="atLeast"/>
      <w:ind w:left="1"/>
    </w:pPr>
    <w:rPr>
      <w:color w:val="000000"/>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2020-09-06T03:04:00Z</dcterms:created>
  <dc:creator>Lenovo</dc:creator>
  <cp:lastModifiedBy>Lenovo</cp:lastModifiedBy>
  <dcterms:modified xsi:type="dcterms:W3CDTF">2019-09-06T06:40:46Z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12D9AA1D7C174DEF9FD70B4A2D8CF3F4</vt:lpwstr>
  </property>
</Properties>
</file>