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150" w:beforeAutospacing="0" w:after="150" w:afterAutospacing="0" w:line="810" w:lineRule="atLeast"/>
        <w:ind w:left="0" w:right="0" w:firstLine="0"/>
        <w:jc w:val="center"/>
        <w:textAlignment w:val="top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color="090000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color="090000" w:fill="FFFFFF"/>
        </w:rPr>
        <w:t>夏邑县20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color="090000" w:fill="FFFFFF"/>
          <w:lang w:val="en-US" w:eastAsia="zh-CN"/>
        </w:rPr>
        <w:t>2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color="090000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color="090000" w:fill="FFFFFF"/>
        </w:rPr>
        <w:t>年度政府决算公开目录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第一部分：2021年度夏邑县政府决算报告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第二部分：2021年度夏邑县政府决算的文字说明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一、收支决算情况说明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二、转移支付执行情况说明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三、举借政府债务情况说明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四、债券资金使用安排情况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五、预算绩效工作开展情况说明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六、重大政策和重点项目绩效执行结果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right="0" w:firstLine="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七、</w:t>
      </w:r>
      <w:r>
        <w:rPr>
          <w:rFonts w:hint="eastAsia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  <w:t>本级汇总的一般公共预算“三公”经费决算情况说明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1478" w:leftChars="304" w:right="0" w:hanging="840" w:hangingChars="30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  <w:t>八、 本级汇总的一般公共预算“三公”经费增减变化（与预算对比）情况说明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1478" w:leftChars="304" w:right="0" w:hanging="840" w:hangingChars="300"/>
        <w:jc w:val="left"/>
        <w:textAlignment w:val="top"/>
        <w:rPr>
          <w:rFonts w:hint="default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-20"/>
          <w:kern w:val="0"/>
          <w:sz w:val="32"/>
          <w:szCs w:val="32"/>
          <w:shd w:val="clear" w:color="080000" w:fill="FFFFFF"/>
          <w:lang w:val="en-US" w:eastAsia="zh-CN"/>
        </w:rPr>
        <w:t>九、  2021年地方政府债务情况（(限额+余额+债券发行+还本付息等)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40" w:lineRule="atLeast"/>
        <w:ind w:left="0" w:right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第三部分：夏邑县2021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年度政府决算表（附表）</w:t>
      </w: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一般公共预算收支决算总表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640" w:leftChars="0" w:right="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一般公共预算收入预算变动情况表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三、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一般公共预算支出预算变动及结余、结转情况表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四、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一般公共预算收入决算表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五、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一般公共预算支出决算表（按功能分类）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六、一般公共预算本级支出决算表（按功能分类）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七、一般公共预算支出决算表（按经济分类）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八、一般公共预算本级支出决算表（按经济分类）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九、一般公共预算本级基本支出决算表（按经济分类）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十、一般公共预算税收返还和转移支付决算表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十一、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一般公共预算收支决算分级表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十二、政府一般债务限额和余额情况决算表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十三、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一般公共预算收支及平衡情况表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十四、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政府性基金预算收支决算总表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十五、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政府性基金预算收入预算变动情况表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十六、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政府性基金预算支出预算变动情况表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十七、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政府性基金预算收入决算表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十八、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十九、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政府性基金预算本级支出决算表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政府性基金预算收支及结余情况表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二十一、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政府性基金预算收支决算分级表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二十二、政府性基金转移支付决算表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二十三、政府专项债务限额和余额情况决算表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二十四、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政府性基金预算收支及平衡情况表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二十五、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国有资本经营预算收支决算总表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二十六、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国有资本经营预算收入决算表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二十七、国有资本经营预算支出决算表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二十八、国有资本经营预算本级支出决算表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二十九、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国有资本经营预算收支决算分级表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三十、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国有资本经营预算收支及平衡情况表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三十一、国有资本经营预算转移支付表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三十二、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社会保险基金预算收入决算表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080000" w:fill="FFFFFF"/>
          <w:lang w:val="en-US" w:eastAsia="zh-CN"/>
        </w:rPr>
        <w:t>三十三、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社会保险基金预算支出决算表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三十四、社会保险基金预算本级支出决算表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default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BBCD8C"/>
    <w:multiLevelType w:val="singleLevel"/>
    <w:tmpl w:val="FABBCD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c2YmZjZjJiYmNmODg0MTY5MTlmYjUyNjY5N2EwMTMifQ=="/>
  </w:docVars>
  <w:rsids>
    <w:rsidRoot w:val="00000000"/>
    <w:rsid w:val="00FC059D"/>
    <w:rsid w:val="10FD7504"/>
    <w:rsid w:val="1F526EDA"/>
    <w:rsid w:val="28FC4FD0"/>
    <w:rsid w:val="30BF434D"/>
    <w:rsid w:val="31C7077C"/>
    <w:rsid w:val="3BC62BFF"/>
    <w:rsid w:val="544C20F3"/>
    <w:rsid w:val="660C4BF2"/>
    <w:rsid w:val="680D22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854</Words>
  <Characters>869</Characters>
  <Lines>0</Lines>
  <Paragraphs>0</Paragraphs>
  <TotalTime>4</TotalTime>
  <ScaleCrop>false</ScaleCrop>
  <LinksUpToDate>false</LinksUpToDate>
  <CharactersWithSpaces>872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2020-10-17T08:25:00Z</dcterms:created>
  <dc:creator>Lenovo</dc:creator>
  <cp:lastModifiedBy>李HR</cp:lastModifiedBy>
  <cp:lastPrinted>2021-12-07T08:15:00Z</cp:lastPrinted>
  <dcterms:modified xsi:type="dcterms:W3CDTF">2022-09-08T23:11:22Z</dcterms:modified>
  <dc:title>夏邑县2020年度政府决算公开目录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CBD85BAD3FD84B18B7215A624CCF0EF3</vt:lpwstr>
  </property>
</Properties>
</file>